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585" w:rsidRPr="000F0585" w:rsidRDefault="000F0585" w:rsidP="000F0585">
      <w:pPr>
        <w:shd w:val="clear" w:color="auto" w:fill="FFFFFF"/>
        <w:spacing w:before="132" w:after="66" w:line="240" w:lineRule="auto"/>
        <w:outlineLvl w:val="0"/>
        <w:rPr>
          <w:rFonts w:ascii="Helvetica" w:eastAsia="Times New Roman" w:hAnsi="Helvetica" w:cs="Helvetica"/>
          <w:color w:val="B53232"/>
          <w:kern w:val="36"/>
          <w:sz w:val="17"/>
          <w:szCs w:val="17"/>
        </w:rPr>
      </w:pPr>
      <w:r w:rsidRPr="000F0585">
        <w:rPr>
          <w:rFonts w:ascii="Helvetica" w:eastAsia="Times New Roman" w:hAnsi="Helvetica" w:cs="Helvetica"/>
          <w:color w:val="B53232"/>
          <w:kern w:val="36"/>
          <w:sz w:val="17"/>
          <w:szCs w:val="17"/>
        </w:rPr>
        <w:t>Процедура чтения диагностических кодов неисправностей</w:t>
      </w:r>
    </w:p>
    <w:p w:rsidR="000F0585" w:rsidRPr="000F0585" w:rsidRDefault="000F0585" w:rsidP="000F0585">
      <w:pPr>
        <w:shd w:val="clear" w:color="auto" w:fill="FFFFFF"/>
        <w:spacing w:after="66" w:line="240" w:lineRule="auto"/>
        <w:rPr>
          <w:rFonts w:ascii="Helvetica" w:eastAsia="Times New Roman" w:hAnsi="Helvetica" w:cs="Helvetica"/>
          <w:color w:val="666666"/>
          <w:sz w:val="9"/>
          <w:szCs w:val="9"/>
        </w:rPr>
      </w:pP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1. Припарковать автомобиль на ровной площадке и выбрать нейтральную передачу. Включить стояночный тормоз.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2. На комбинации приборов (см. рисунок) нажать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161313" cy="117446"/>
            <wp:effectExtent l="19050" t="0" r="0" b="0"/>
            <wp:docPr id="1" name="Рисунок 1" descr="Кнопка выбора на панели приборов автомобиля Кам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нопка выбора на панели приборов автомобиля Камаз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19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несколько раз, до выбора «Меню диагностики» на мониторе.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3. На комбинации приборов нажать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119882" cy="75501"/>
            <wp:effectExtent l="19050" t="0" r="0" b="0"/>
            <wp:docPr id="2" name="Рисунок 2" descr="Указатель поворота автомобиля Камаз впра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азатель поворота автомобиля Камаз вправ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32" cy="7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несколько раз, до выбора меню «Коды ошибок».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4. Для прочтения диагностических кодов нажать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162082" cy="123887"/>
            <wp:effectExtent l="19050" t="0" r="9368" b="0"/>
            <wp:docPr id="3" name="Рисунок 3" descr="Кнопка выбора на панели приборов автомобиля Кам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нопка выбора на панели приборов автомобиля Камаз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2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один раз. Если диагностических кодов неисправностей нет, то отображается «Нет ошибок».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5. Для выхода из режима отображения диагностических кодов нажать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145939" cy="95835"/>
            <wp:effectExtent l="19050" t="0" r="6461" b="0"/>
            <wp:docPr id="4" name="Рисунок 4" descr="Указатель поворота автомобиля Камаз впра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казатель поворота автомобиля Камаз вправ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5" cy="9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один раз. Затем, для возврата в основное меню, нажать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97243" cy="107043"/>
            <wp:effectExtent l="19050" t="0" r="0" b="0"/>
            <wp:docPr id="5" name="Рисунок 5" descr="Кнопка выбора на панели приборов автомобиля Кам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нопка выбора на панели приборов автомобиля Камаз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1" cy="108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несколько раз или удерживать кнопку </w:t>
      </w:r>
      <w:r>
        <w:rPr>
          <w:rFonts w:ascii="Helvetica" w:eastAsia="Times New Roman" w:hAnsi="Helvetica" w:cs="Helvetica"/>
          <w:noProof/>
          <w:color w:val="666666"/>
          <w:sz w:val="9"/>
          <w:szCs w:val="9"/>
        </w:rPr>
        <w:drawing>
          <wp:inline distT="0" distB="0" distL="0" distR="0">
            <wp:extent cx="109826" cy="120894"/>
            <wp:effectExtent l="19050" t="0" r="4474" b="0"/>
            <wp:docPr id="6" name="Рисунок 6" descr="Кнопка выбора на панели приборов автомобиля Кам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нопка выбора на панели приборов автомобиля Камаз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10" cy="12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 в нажатом положении некоторое время.</w:t>
      </w:r>
    </w:p>
    <w:p w:rsidR="00000000" w:rsidRDefault="000F0585">
      <w:pPr>
        <w:rPr>
          <w:lang w:val="en-US"/>
        </w:rPr>
      </w:pPr>
      <w:r>
        <w:rPr>
          <w:noProof/>
        </w:rPr>
        <w:drawing>
          <wp:inline distT="0" distB="0" distL="0" distR="0">
            <wp:extent cx="2461071" cy="1187042"/>
            <wp:effectExtent l="19050" t="0" r="0" b="0"/>
            <wp:docPr id="13" name="Рисунок 13" descr="C:\Users\Олег\Desktop\pic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Олег\Desktop\pic5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891" cy="118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585" w:rsidRPr="000F0585" w:rsidRDefault="000F0585" w:rsidP="000F0585">
      <w:pPr>
        <w:shd w:val="clear" w:color="auto" w:fill="FFFFFF"/>
        <w:spacing w:after="66" w:line="240" w:lineRule="auto"/>
        <w:rPr>
          <w:rFonts w:ascii="Helvetica" w:eastAsia="Times New Roman" w:hAnsi="Helvetica" w:cs="Helvetica"/>
          <w:color w:val="666666"/>
          <w:sz w:val="9"/>
          <w:szCs w:val="9"/>
        </w:rPr>
      </w:pP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6. При наличии неисправности, на дисплей выводятся:</w:t>
      </w:r>
    </w:p>
    <w:p w:rsidR="000F0585" w:rsidRPr="000F0585" w:rsidRDefault="000F0585" w:rsidP="000F05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666666"/>
          <w:sz w:val="9"/>
          <w:szCs w:val="9"/>
        </w:rPr>
      </w:pP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адрес электронной системы, с которой в шину данных CAN отправлены сообщения о неисправностях:</w:t>
      </w:r>
    </w:p>
    <w:p w:rsidR="000F0585" w:rsidRPr="000F0585" w:rsidRDefault="000F0585" w:rsidP="000F0585">
      <w:pPr>
        <w:shd w:val="clear" w:color="auto" w:fill="FFFFFF"/>
        <w:spacing w:after="66" w:line="240" w:lineRule="auto"/>
        <w:rPr>
          <w:rFonts w:ascii="Helvetica" w:eastAsia="Times New Roman" w:hAnsi="Helvetica" w:cs="Helvetica"/>
          <w:color w:val="666666"/>
          <w:sz w:val="9"/>
          <w:szCs w:val="9"/>
        </w:rPr>
      </w:pP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 xml:space="preserve">— 0 – </w:t>
      </w:r>
      <w:proofErr w:type="spellStart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Engine</w:t>
      </w:r>
      <w:proofErr w:type="spellEnd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 xml:space="preserve"> (двигатель) (см. рис. Коды неисправности в электронной системе управления двигателем (пример));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— 11 – ABS (</w:t>
      </w:r>
      <w:proofErr w:type="spellStart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антиблокировочная</w:t>
      </w:r>
      <w:proofErr w:type="spellEnd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 xml:space="preserve"> система);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— 61 – SCR (система нейтрализации);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>— 30 – электрооборудование;</w:t>
      </w: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br/>
        <w:t xml:space="preserve">— 238 – </w:t>
      </w:r>
      <w:proofErr w:type="spellStart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тахограф</w:t>
      </w:r>
      <w:proofErr w:type="spellEnd"/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 xml:space="preserve"> электронный.</w:t>
      </w:r>
    </w:p>
    <w:p w:rsidR="000F0585" w:rsidRPr="000F0585" w:rsidRDefault="000F0585" w:rsidP="000F05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666666"/>
          <w:sz w:val="9"/>
          <w:szCs w:val="9"/>
        </w:rPr>
      </w:pPr>
      <w:r w:rsidRPr="000F0585">
        <w:rPr>
          <w:rFonts w:ascii="Helvetica" w:eastAsia="Times New Roman" w:hAnsi="Helvetica" w:cs="Helvetica"/>
          <w:color w:val="666666"/>
          <w:sz w:val="9"/>
          <w:szCs w:val="9"/>
        </w:rPr>
        <w:t>коды неисправностей в виде числовых значений: тип неисправности обозначается символом SPN; вариант неисправности – FMI.</w:t>
      </w:r>
    </w:p>
    <w:p w:rsidR="000F0585" w:rsidRPr="000F0585" w:rsidRDefault="000F0585">
      <w:r>
        <w:rPr>
          <w:noProof/>
        </w:rPr>
        <w:drawing>
          <wp:inline distT="0" distB="0" distL="0" distR="0">
            <wp:extent cx="2143125" cy="876935"/>
            <wp:effectExtent l="19050" t="0" r="9525" b="0"/>
            <wp:docPr id="14" name="Рисунок 14" descr="C:\Users\Олег\Desktop\pic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Олег\Desktop\pic5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585" w:rsidRPr="000F0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071C1"/>
    <w:multiLevelType w:val="multilevel"/>
    <w:tmpl w:val="A56E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187A32"/>
    <w:multiLevelType w:val="multilevel"/>
    <w:tmpl w:val="951A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>
    <w:useFELayout/>
  </w:compat>
  <w:rsids>
    <w:rsidRoot w:val="000F0585"/>
    <w:rsid w:val="000F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0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5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F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2021-04-14T15:01:00Z</dcterms:created>
  <dcterms:modified xsi:type="dcterms:W3CDTF">2021-04-14T15:09:00Z</dcterms:modified>
</cp:coreProperties>
</file>